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59"/>
          <w:szCs w:val="59"/>
          <w:lang w:eastAsia="pl-PL"/>
        </w:rPr>
        <w:t>Pomorski System Współpracy i Wsparcia Organizacji Pozarządowych (wersja robocza)</w:t>
      </w:r>
    </w:p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WSTĘP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Proces przygotowawczy</w:t>
      </w:r>
    </w:p>
    <w:p w:rsidR="00047717" w:rsidRPr="00047717" w:rsidRDefault="00047717" w:rsidP="0004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Pomorski System Współpracy i Wsparcia Organizacji Pozarządowych powstał z inicjatywy Pomorskiej Rady Organizacji Pozarządowych w odpowiedzi na potrzebę zintegrowania, wzmocnienia efektywności i zapewnienia kompleksowości wsparcia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aktywności społecznej w województwie pomorskim.  W celu opracowania koncepcji 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powołany został zespół roboczy składający się z przedstawicieli i przedstawicielek różnych środowisk zajmujących się wsparciem organizacji pozarządowych i aktywności obywatelskiej. W pracach zespołu wzięły udział osoby reprezentujące Pomorską Radę Działalności Pożytku Publicznego, Pomorską Sieć Centrów Organizacji Pozarządowych, Pomorską Sieć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Eurodesk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, Regionalne Centra Wolontariatu, Ośrodek Wsparcia Ekonomii Społecznej, Pomorską Sieć Leader, Sieć Ośrodków Działaj Lokalnie w województwie pomorskim, Partnerstwo Akumulator Społeczny w województwie pomorskim, Fundację Inicjowania Rozwoju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Up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Foundation oraz Pomorską Radę Organizacji Pozarządowych. </w:t>
      </w:r>
    </w:p>
    <w:p w:rsidR="00047717" w:rsidRPr="00047717" w:rsidRDefault="00047717" w:rsidP="0004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PROCES KONSULTACJI - W TRAKCIE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Diagnoza kondycji III sektora w województwie pomorskim</w:t>
      </w:r>
    </w:p>
    <w:p w:rsidR="00047717" w:rsidRPr="00047717" w:rsidRDefault="00047717" w:rsidP="00047717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Współczesne prawodawstwo, ale także zmiany społeczno-kulturowe, napływ środków unijnych i całościowe funkcjonowanie państwa, z jego problemami, deficytami i kształtującą się w odpowiedzi na nie polityką społeczną i gospodarczą stawia organizacje pozarządowe przed koniecznością planowania przyszłości i wprowadzania zmian w funkcjonowaniu struktur organizacji non profit, ich kultury organizacyjnej, zarządczej i finansowania działań. Zarówno badacze jak i praktycy trzeciego sektora, w Polsce i na świecie, są zgodni co do tego, że rozwój i zmiany w funkcjonowaniu organizacji pozarządowych są niezbędne i muszą iść równolegle do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społeczno-gospodarczego oraz zmieniających się regulacji administracyjno-prawnych.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Szczególnego znaczenia nabrało budowanie stabilności finansowej organizacji pozarządowych oraz ich uniezależnienie od sektora publicznego, systemu sponsoringu i dotacji, zwłaszcza w kontekście zakończenia jednej perspektywy finansowania unijnego i oczekiwanie na kolejną: „Koncepcja „organizacyjnej stabilności” organizacji działających na rzecz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lokalnego, czy też regionalnego, w krajach rozwijających się wzbudza w ostatnich latach coraz większe zainteresowanie. Ma to związek zarówno ze zmniejszaniem się 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dostępnych źródeł finansowania, jak i wzrastającymi oczekiwaniami i potrzebami organizacji. Zgromadzenie wystarczającej ilości środków na działalność programową jest najstarszym i największym problemem działaczy organizacji pozarządowych na całym świecie. Organizacje są coraz bardziej uzależnione od bazujących na konkretnych projektach dotacji sponsorów, co w znacznym stopniu ogranicza ich zdolność strategicznego planowania, a także ich niezależność” [Davis 2000: 7)].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Szukanie sposobu na stabilizację finansową organizacji, jej dalszy rozwój i usamodzielnienie od sektora administracji publicznej to coraz częstsze tematy podejmowane w kontekście III sektora. Wszystkie te hasła sprowadzają się do profesjonalizacji i ekonomizacji działań sektora pozarządowego.</w:t>
      </w:r>
    </w:p>
    <w:p w:rsidR="00047717" w:rsidRPr="00047717" w:rsidRDefault="00047717" w:rsidP="0004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          </w:t>
      </w:r>
      <w:r w:rsidRPr="00047717">
        <w:rPr>
          <w:rFonts w:ascii="Arial" w:eastAsia="Times New Roman" w:hAnsi="Arial" w:cs="Arial"/>
          <w:color w:val="000000"/>
          <w:sz w:val="32"/>
          <w:lang w:eastAsia="pl-PL"/>
        </w:rPr>
        <w:tab/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Obserwując trendy w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sektora pozarządowego w Polsce można wysnuć hipotezę, iż następują istotne zmiany. Organizacje coraz częściej odchodzą od tradycyjnie pojmowanej filantropii w działaniach organizacji non profit, w kierunku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nowoczesnych, prężnych organizacji, które wprowadzają różnorodne formy działań w zakresie innowacji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społecznych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 i coraz częściej przedsiębiorczości społecznej.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Według danych z Wojewódzkiego Programu Rozwoju Ekonomii Społecznej Pomorze ma przeciętne na tle kraju wyniki pod względem liczby aktywnie działających organizacji pozarządowych (4,2 tys. w 2010 r.) oraz liczby organizacji pozarządowych na 10 tys. mieszkańców (19,1 w 2010 r.). Największy odsetek pomorskich organizacji pozarządowych prowadzi działania w sferach związanych ze sportem, turystyką i rekreacją, edukacją i wychowaniem oraz kulturą i sztuką. Widoczna jest wyraźna tendencja dotycząca obszaru działań organizacji pod kątem ich lokalizacji: na wsiach przeważają organizacje zajmujące się sportem, w miastach – pomocą społeczną. Organizacje pozarządowe w województwie pomorskim nie odgrywają istotnej roli jako pracodawcy. Tylko 34% organizacji na stałe zatrudnia pracowników, a 24,2% okazjonalnie korzysta z płatnej pracy na zasadzie jednorazowych umów lub zleceń. Organizacje najczęściej 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działają w oparciu o małą liczbę stałych pracowników, popartą pracą wolontariuszy, w większości nie oferują stabilnych miejsc pracy. Szacuje się, że około 10% aktywnych organizacji pozarządowych prowadzi działalność gospodarczą, z której zysk przeznaczany jest w całości na cele statutowe tych podmiotów [WPRES 2014].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Wyniki badania „Kondycja III sektora w województwie pomorskim” z 2014 roku wyraźnie pokazują, że organizacje są na różnym poziomie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i przygotowania do procesu profesjonalizacji działań. Borykają się z problemami i przeszkodami, które często ograniczają możliwość realizacji misji społecznej w takim zakresie i zasięgu jaki odpowiadałby organizacjom.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Najważniejsze zidentyfikowane problemy organizacji to: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Mała dywersyfikacja źródeł finansowania organizacji;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Oparcie finansowania działań organizacji w większości na środkach publicznych;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Zbyt małe środki finansowe w organizacjach, które nie pozwalają na swobodną realizację działań statutowych;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Nadmierna biurokracja administracji publicznej i zawiłe przepisy zniechęcające organizacje do prowadzenia działalności gospodarczej;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Mała świadomość organizacji w zakresie planowania i koordynowania działań;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Brak uporządkowanej struktury funkcjonowania i zarządzania w organizacjach;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Brak planowania strategicznego (długofalowego) w organizacjach;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Problemy z identyfikacją właściwych osób do zajmowania się działalnością ekonomiczną w organizacjach;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Brak doświadczenia i wiedzy w zakresie działalności ekonomicznej wśród członków organizacji;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Brak funduszy w organizacjach na uruchomienie działalności gospodarczej;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Trudności w określeniu koncepcji biznesowej organizacji;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Trudności w szacowaniu kosztów i przychodów oraz procesu sprzedaży w organizacjach;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Trudności w identyfikowaniu pomysłu na działalność gospodarczą w organizacjach;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Bariera dostępu do kapitału;</w:t>
      </w:r>
    </w:p>
    <w:p w:rsidR="00047717" w:rsidRPr="00047717" w:rsidRDefault="00047717" w:rsidP="0004771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·</w:t>
      </w:r>
      <w:r w:rsidRPr="0004771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 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Brak kompleksowej oferty wsparcia dla PES.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Profesjonalizacja trzeciego sektora jest zjawiskiem złożonym i trudnym do przeprowadzenia. Wymaga zaangażowania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interesariuszy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lokalnych, budowania partnerstw ale przede wszystkim przygotowania samych organizacji do procesu profesjonalizacji swoich działań. Organizacje pozarządowe aby móc profesjonalizować swoje działania muszą przejść proces przygotowania, dokonać planowania strategicznego, zmienić strukturę zarządzania i dokonać rozpoznania otoczenia lokalnego. W działaniach tych niezbędne jest szerokie wzmacnianie trzeciego sektora zarówno pod względem regulacji prawnych, wsparcia szkoleniowo-doradczego, partnerstw lokalnych jak i „dobrego klimatu” dla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społeczeństwa obywatelskiego.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 przywoływanym raporcie z badań Kondycji III sektora w województwie pomorskim pojawiają się dwie, istotne z perspektywy oceny kondycji sektora, tezy. Po pierwsze brak w tym momencie w regionie złożonego, skutecznego i całościowego systemu wsparcia dla organizacji pozarządowych. Potwierdzeniem tej tezy jest wykazana podczas badania wola i chęć współpracy organizacji z Centrami Organizacji Pozarządowych. Druga teza wiąże się z faktycznym brakiem wystarczającej dywersyfikacji źródeł finansowania w bieżących działaniach sektora, choć widać w tej kwestii postęp w porównaniu z poprzednią edycją badań. W konsekwencji funkcjonowanie wielu organizacji pozarządowych w sposób niemalże jednoznaczny zależy od skuteczności aplikowania o środki publiczne (gminne, rządowe czy europejskie), zamiast eksploracji alternatywnych źródeł pozyskiwania środków, takich jak np. zakładanie podmiotów ekonomii społecznej czy też prowadzenia działalności gospodarczej i odpłatnej. W niedalekiej przyszłości organizacjom może być niełatwo w krótkim czasie dostosować się i zaadoptować nowego modelu funkcjonowania [Raport z badań „Kondycja III sektora w województwie pomorskim, 2014].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Pozytywne wnioski dotyczą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ekonomii społecznej i wiedzy organizacji w zakresie ekonomizacji działań.  Z badań wynika, że ok. 12% organizacji deklaruje chęć założenia własnego podmiotu ekonomii społecznej lub ekonomizacji działań.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Według raportu na przestrzeni ostatnich lat nie zmienił się wzór relacji organizacji pozarządowych z otoczeniem. Deklaracje o częstotliwości kontaktów z poszczególnymi podmiotami/grupami pozostały na podobnym poziomie, co plasuje w gronie najważniejszych partnerów takie grupy, jak: lokalną społeczność, instytucje użyteczności publicznej, samorząd gminny oraz inne organizacje pozarządowe.</w:t>
      </w:r>
    </w:p>
    <w:p w:rsidR="00047717" w:rsidRPr="00047717" w:rsidRDefault="00047717" w:rsidP="0004771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 raporcie sformułowane zostały rekomendacje, których wdrożenie przyczyniłoby się do wsparcia sektora pozarządowego, budowania jego stabilności finansowej i profesjonalizacji działań.</w:t>
      </w:r>
    </w:p>
    <w:p w:rsidR="00047717" w:rsidRPr="00047717" w:rsidRDefault="00047717" w:rsidP="00047717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1.</w:t>
      </w:r>
      <w:r w:rsidRPr="000477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Wsparcie organizacji w procesie ekonomizowania swoich działań/wzmacniania podstaw finansowych, w tym w szczególności: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Edukowanie organizacji w zakresie dywersyfikacji ich źródeł przychodów, w tym w zakresie ekonomizacji działań, poprzez odpłatną działalność pożytku publicznego oraz działalność gospodarczą;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Lobbowanie na rzecz tworzenia przyjaznych regulacji prawnych w zakresie funkcjonowania podmiotów ekonomii społecznej;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Uruchomienie na większą skalę instrumentów zwrotnych, adresowanych do funkcjonujących podmiotów ekonomii społecznej, w tym organizacji pozarządowych;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Udzielanie dotacji innym typom podmiotów ekonomii społecznej niż spółdzielnie socjalne, w tym: organizacjom pozarządowym, spółkom non-profit;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Zachęcanie samorządu do zwiększenia zamówień kierowanych do sektora podmiotów ekonomii społecznej.</w:t>
      </w:r>
    </w:p>
    <w:p w:rsidR="00047717" w:rsidRPr="00047717" w:rsidRDefault="00047717" w:rsidP="00047717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2.</w:t>
      </w:r>
      <w:r w:rsidRPr="000477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Zwiększanie kompetencji organizacji, szczególnie w aspekcie znajomości prawa oraz zarządzania podmiotem: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Edukowanie organizacji w zakresie przepisów prawnych regulujących ich działalność, świadczenie usług doradczych i szkoleniowych w tym obszarze dla organizacji;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Inwestowanie w rozwój merytoryczny kadr organizacji;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Uświadamianie organizacjom konieczności planowania finansowego w dłuższej perspektywie czasowej;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Wdrażanie w organizacjach działań mających na celu przyuczanie do planowania strategicznego, w tym zagadnień związanych z działalnością gospodarczą;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Edukowanie organizacji w zakresie budowania struktury organizacyjnej.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Podejmowanie działań lobbujących za wprowadzeniem ułatwień formalno-prawnych w kontekście codziennego funkcjonowania organizacji, jak również różnych programów grantowych, szczególnie na stopniu krajowym.</w:t>
      </w:r>
    </w:p>
    <w:p w:rsidR="00047717" w:rsidRPr="00047717" w:rsidRDefault="00047717" w:rsidP="00047717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3.</w:t>
      </w:r>
      <w:r w:rsidRPr="000477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Stworzenie i wdrożenie regionalnego systemu wsparcia organizacji pozarządowych: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Dopasowanie oferty do wsparcia do diagnozowanych potrzeb;</w:t>
      </w:r>
    </w:p>
    <w:p w:rsidR="00047717" w:rsidRPr="00047717" w:rsidRDefault="00047717" w:rsidP="00047717">
      <w:pPr>
        <w:spacing w:before="120" w:after="1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Stworzenie systemu komplementarnego, integrującego wiele funkcji.</w:t>
      </w:r>
    </w:p>
    <w:p w:rsidR="00047717" w:rsidRPr="00047717" w:rsidRDefault="00047717" w:rsidP="00047717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4.</w:t>
      </w:r>
      <w:r w:rsidRPr="000477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     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Podejmowanie działań wzmacniających współpracę wewnątrz</w:t>
      </w:r>
    </w:p>
    <w:p w:rsidR="00047717" w:rsidRPr="00047717" w:rsidRDefault="00047717" w:rsidP="00047717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 zewnątrz-sektorową, ze szczególnym uwzględnieniem biznesu:</w:t>
      </w:r>
    </w:p>
    <w:p w:rsidR="00047717" w:rsidRPr="00047717" w:rsidRDefault="00047717" w:rsidP="00047717">
      <w:pPr>
        <w:spacing w:before="120" w:after="120" w:line="240" w:lineRule="auto"/>
        <w:ind w:left="8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Podjęcie działań na rzecz partnerstw lokalnych, inicjatyw pozarządowych, wspólnych reprezentacji sektorowych i innych;</w:t>
      </w:r>
    </w:p>
    <w:p w:rsidR="00047717" w:rsidRPr="00047717" w:rsidRDefault="00047717" w:rsidP="00047717">
      <w:pPr>
        <w:spacing w:before="120" w:after="120" w:line="240" w:lineRule="auto"/>
        <w:ind w:left="8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lastRenderedPageBreak/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Tworzenie tzw. „dobrego klimatu” dla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rozwoju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organizacji pozarządowych i wzmacniania roli sektora w środowisku samorządowym i biznesowym;</w:t>
      </w:r>
    </w:p>
    <w:p w:rsidR="00047717" w:rsidRPr="00047717" w:rsidRDefault="00047717" w:rsidP="00047717">
      <w:pPr>
        <w:spacing w:before="120" w:after="120" w:line="240" w:lineRule="auto"/>
        <w:ind w:left="8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8064A2"/>
          <w:sz w:val="32"/>
          <w:szCs w:val="32"/>
          <w:lang w:eastAsia="pl-PL"/>
        </w:rPr>
        <w:t>•</w:t>
      </w:r>
      <w:r w:rsidRPr="00047717">
        <w:rPr>
          <w:rFonts w:ascii="Arial" w:eastAsia="Times New Roman" w:hAnsi="Arial" w:cs="Arial"/>
          <w:color w:val="8064A2"/>
          <w:sz w:val="19"/>
          <w:szCs w:val="19"/>
          <w:lang w:eastAsia="pl-PL"/>
        </w:rPr>
        <w:t xml:space="preserve">  </w:t>
      </w: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Działania na rzecz współpracy organizacji pozarządowych z biznesem poprzez promocję społecznej odpowiedzialności biznesu, poszukiwanie partnerów biznesowych dla podmiotów ekonomii społecznej w zakresie zleceń, wzajemnej wymiany lub sprzedaży usług, realizacja spotkań i wydarzeń dla sektora prywatnego promujących ekonomię społeczną.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before="120" w:after="120" w:line="240" w:lineRule="auto"/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Zgodność Pomorskiego Systemu Współpracy i Wsparcia Organizacji Pozarządowych z dokumentami strategicznymi Województwa Pomorskiego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662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20" w:after="120" w:line="0" w:lineRule="atLeas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STRATEGIA ROZWOJU WOJEWÓDZTWA POMORSKIEGO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Cel operacyjny 2.2.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Wysoki poziom kapitału społecznego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Wyzwania strategiczne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4. Kapitał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 tożsamość regionalna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1. Zatrudnienie i stan zdrowia mieszkańców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10. Zdolność instytucjonalna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Wybór strategiczny: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Organizacje pozarządowe (stymulujące aktywność społeczną); tożsamość regionalna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(czerpiące z bogatego i różnorodnego dziedzictwa kulturowego regionu); aktywizacja i integracja społeczna;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uczestnictwo w kulturze i innych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formachaktywności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społecznej (m.in. sporcie), a także przestrzenie publiczne (jako miejsca sprzyjające wzmacnianiu kontaktów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).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Oczekiwane efekty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Powszechne postawy partycypacyjne w życiu publicznym;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Organizacje pozarządowe jako silny partner w realizacji zadań publicznych oraz atrakcyjny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pracodawca;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Większe uczestnictwo mieszkańców w wolontariacie i animacji środowiskowej;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Silniejsze poczucie więzi mieszkańców z regionem oraz dbałość o zachowanie różnorodności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kulturowej województwa;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Skuteczne mechanizmy włączania osób wykluczonych i zagrożonych wykluczeniem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społecznym;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Znaczące uczestnictwo mieszkańców (w tym dzieci, młodzieży, a także osób starszych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i niepełnosprawnych) w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lokalnych wydarzeniach kulturalnych, sportowych i rekreacyjnych;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Rozwinięta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kultura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czytelnicza;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Tereny miejskie, którym przywrócono lub nadano funkcje społeczne;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Wysokiej jakości przestrzeń publiczna;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Zachowane dziedzictwo i krajobraz kulturowo-przyrodniczy.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Ukierunkowanie interwencji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Kierunek działania - Obszar Strategicznej Interwencji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2.2.1.Systemowe wzmacnianie potencjału organizacji pozarządowych (całe województwo)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2.2.2.Podnoszenie poziomu tożsamości regionalnej i lokalnej oraz integracja społeczności lokalnych (całe województwo)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2.2.3.Aktywne uczestnictwo w kulturze, sporcie i rekreacji (obszary ponadprzeciętnego poziomu wykluczenia społecznego)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2.2.4. Kompleksowa rewitalizacja i rozwój przestrzeni publicznych (w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zakresie kompleksowej rewitalizacji − zdegradowane (przestrzennie i społecznie) obszary miejskie, w zakresie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przestrzeni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publicznych−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obszary ponadprzeciętnego poziomu wykluczenia społecznego)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Zobowiązania Samorządu Województwa Pomorskiego: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Utworzenie regionalnego systemu wsparcia organizacji pozarządowych.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Rola Samorządu Województwa Pomorskiego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Koordynator i lider;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Inwestor.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Partnerzy kluczowi dla realizacji Celu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Organizacje pozarządowe i podmioty wykonujące działalność pożytku publicznego;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Jednostki samorządu terytorialnego;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Instytucje kultury;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Instytucje edukacyjne, w tym szkoły wyższe;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Lokalne grupy działania;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Lokalne grupy rybackie.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lastRenderedPageBreak/>
              <w:t>Warunki sukcesu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Wzrost zaufania i intensyfikacja współpracy pomiędzy kluczowymi partnerami, szczególnie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 relacji: jednostki samorządu terytorialnego – organizacje pozarządowe.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Oczekiwania wobec władz centralnych w związku z realizacją Celu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Objęcie procedurą kontraktu terytorialnego istotnego strumienia środków pozostających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 dyspozycji ministra właściwego do spraw pracy i polityki społecznej przeznaczonych na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integrację społeczną i realizację inicjatyw organizacji pozarządowych;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Określenie standardów urbanistycznych dla zapewnienia na etapie planowania odpowiedniej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dostępności do lokalnej infrastruktury społecznej i do przestrzeni publicznych.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20" w:after="120" w:line="0" w:lineRule="atLeas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REGIONALNY PROGRAM STRATEGICZNY „AKTYWNI POMORZANIE”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40" w:after="14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Cel szczegółowy 2. Wysoki poziom kapitału społecznego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Jednym z kluczowych wyzwań Programu jest budowa regionalnej wspólnoty mieszkańców regionu. Program skupi się na wzmacnianiu potencjału organizacji pozarządowych, wspieraniu aktywności mieszkańców w obszarach kultury, sportu i rekreacji, podnoszeniu poziomu tożsamości regionalnej i lokalnej, integracji społeczności lokalnych oraz kompleksowej poprawie funkcjonalności, estetyki i jakości przestrzeni publicznych. Efektem będzie podniesienie poziomu kapitału społecznego Pomorzan.</w:t>
            </w:r>
          </w:p>
          <w:p w:rsidR="00047717" w:rsidRPr="00047717" w:rsidRDefault="00047717" w:rsidP="000477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Zakres interwencji:</w:t>
            </w:r>
          </w:p>
          <w:p w:rsidR="00047717" w:rsidRPr="00047717" w:rsidRDefault="00047717" w:rsidP="0004771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Wsparcie procesu przejmowania usług dla mieszkańców przez organizacje pozarządowe.</w:t>
            </w:r>
          </w:p>
          <w:p w:rsidR="00047717" w:rsidRPr="00047717" w:rsidRDefault="00047717" w:rsidP="0004771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Stymulowanie powstawania sieciowych struktur organizacji pozarządowych świadczących usługi na rzecz sektora pozarządowego.</w:t>
            </w:r>
          </w:p>
          <w:p w:rsidR="00047717" w:rsidRPr="00047717" w:rsidRDefault="00047717" w:rsidP="00047717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Tworzenie warunków do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dialogu społecznego między wszystkimi partnerami zaangażowanymi w rozwój społeczno-gospodarczy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regionu.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STANOWISKO NEGOCJACYJNE DO KONTRAKTU TERYTORIALNEGO WOJ. POMORSKIEGO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z dnia 1.07.2014 r. (nie przyjęte dotąd zapisy Kontraktu Terytorialnego są wciąż w fazie negocjowania z Rządem RP)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PAKIET XIII: Pakiet przedsięwzięć w zakresie systemowego wsparcia organizacji pozarządowych oraz aktywizacji społecznej i zawodowej młodzieży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PRZEDSIĘWZIĘCIA PRIORYTETOWE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: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1.Pomorska Sieć Centrów Organizacji Pozarządowych</w:t>
            </w: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,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2.Program aktywizacji społecznej i zawodowej młodzieży na Pomorzu w latach 2014-2020 –</w:t>
            </w:r>
            <w:r w:rsidRPr="0004771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       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Czas na młodzież.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pl-PL"/>
              </w:rPr>
              <w:t>Instytucja odpowiedzialna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Koordynator: Samorząd Województwa Pomorskiego wraz z partnerami z sektora pozarządowego (w tym Pomorską Radą Organizacji Pozarządowych i powiatowymi radami organizacji pozarządowych).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Orientacyjny koszt 21 mln PLN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Źródło finansowania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− PO FIO 2014-2020,</w:t>
            </w:r>
          </w:p>
          <w:p w:rsidR="00047717" w:rsidRPr="00047717" w:rsidRDefault="00047717" w:rsidP="00047717">
            <w:pPr>
              <w:spacing w:before="120" w:after="12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− PO WER,</w:t>
            </w:r>
          </w:p>
          <w:p w:rsidR="00047717" w:rsidRPr="00047717" w:rsidRDefault="00047717" w:rsidP="00047717">
            <w:pPr>
              <w:spacing w:before="120" w:after="120" w:line="0" w:lineRule="atLeas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− środki budżetu państwa.</w:t>
            </w:r>
          </w:p>
        </w:tc>
      </w:tr>
    </w:tbl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WSPÓŁPRACA Z SAMORZĄDEM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629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długa tradycja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pełnomocnik ds.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pełnomocników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zwiększająca się świadomość dot. współpracy JST – NGO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prawie wszystkie JST posiadają programy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zwiększająca się świadomość dot. modelu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duża liczba dobrych praktyk / ciekawych inicjatyw w zakresie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stymulacja zewnętrzna do budowania partnerstw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wzrost kompetencji urzędników/-czek w zakresie współpracy z organizacjami pozarządowymi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zwiększająca się liczba konsultowanych dokumentów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silne umocowanie wojewódzkiej reprezentacji organizacji pozarządowych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wzrastające umocowanie reprezentacji organizacji pozarządowych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zwiększająca się świadomość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w JST, że NGO realizują zadania publiczne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istnienie znaczącej infrastruktury współpracy prowadzonej przez NGO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zwiększająca się atrakcyjność NGO jako partnerów (zwiększająca się profesjonalizacja NGO, większy potencjał finansowy)</w:t>
            </w:r>
          </w:p>
          <w:p w:rsidR="00047717" w:rsidRPr="00047717" w:rsidRDefault="00047717" w:rsidP="00047717">
            <w:pPr>
              <w:spacing w:after="0" w:line="0" w:lineRule="atLeast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znacząca liczba silnych organizacji pozarządowych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- niewystarczające usytuowanie pełnomocników ds.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brak biura pełnomocnika ds. współpracy przy Urzędzie Marszałkowskim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słabo rozpowszechniona funkcja lokalnych pełnomocników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brak mechanizmów współpracy w ramach sieci pełnomocników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mała świadomość urzędów dotycząca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mozliwości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 korzyści współpracy JST- NGO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słaba jakość programów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zbyt mała ilość środków na realizację zadań przez NGO ujęta w programach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zbyt mała transparentność współpracy samorządów z organizacjami pozarządowymi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zbyt długi okres wypracowywania i wdrażania rozwiązań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- niska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kultura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współpracy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niski wskaźnik udziału organizacji pozarządowych w wypracowywaniu strategii lokalnych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mała świadomość osób decyzyjnych w JST na temat korzyści współpracy z organizacjami pozarządowymi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małe znaczenie konsultacji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różne rozumienie definicji/procesów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rozbieżność interesów politycznych 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mała waga i słaba jakość konsultacji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mało efektywne mechanizmy przepływu informacji pomiędzy JST a organizacjami pozarządowymi</w:t>
            </w:r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niska gotowość do wypracowania i wdrażania innowacji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słaba jakość procesów oceny ofert na realizację zadań publicznych</w:t>
            </w:r>
          </w:p>
          <w:p w:rsidR="00047717" w:rsidRPr="00047717" w:rsidRDefault="00047717" w:rsidP="00047717">
            <w:pPr>
              <w:spacing w:after="0" w:line="0" w:lineRule="atLeast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niewielka liczba organizacji strażniczych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CELE OGÓLNE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niezależności sektora pozarządowego w zakresie finansowym, organizacyjnym, merytorycznym w relacjach z partnerem samorządowym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Podniesienie jakości realizacji zadań publicznych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CELE SZCZEGÓŁOWE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Podniesienie wiedzy i umiejętności budowania relacji związanych z modelem współpracy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Znaczący (skokowy) wzrost poziomu i zakresu współpracy finansowej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infrastruktury współpracy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4823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NAZWA 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rPr>
          <w:trHeight w:val="5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Pomorska Szkoła Partnerstwa 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left="1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Oferta skierowana zarówno do przedstawicieli organizacji pozarządowych, jak i sektora samorządowego. Dzięki współpracy z uczelnią wyższą Pomorska Szkoła Partnerstwa będzie miała rangę – studium. Struktura szkoły to cykl warsztatów, wykładów, wizyt studyjnych o tematyce szeroko rozumianego partnerstwa. Dodatkowo w ramach szkoły odbywać się będą cykliczne seminaria/konferencje otwarte dla wszystkich zainteresowanych. O jakość oferty Pomorskiej Szkoły Partnerstwa dbać będzie Rada Programowa, składająca się z ekspertów, autorytetów w dziedzinie m.in. socjologii, psychologii społecznej, aktywności obywatelskiej, badań nad kapitałem społecznym. 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Niezbędnik NGO dla JST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Niezbędnik opracowany przez przedstawicieli sektora pozarządowego oraz samorządowego, stanowiący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zbiór niezbędnych informacji, dobrych praktyk stanowiących pomoc dla pracowników administracji publicznej w podejmowaniu współpracy z organizacjami pozarządowymi. Niezbędnik będzie miał formę publikacji oraz wersji multimedialnej dostępnej w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intrenecie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. Będzie uwzględniał wypracowany przez sieć SPLOT w partnerstwie z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MPiPS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, ISP oraz ZMP model współpracy NGO/JST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Portal z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Portal oraz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internetowe stanowiące platformę wymiany informacji, dobrych praktyk, zasobów w zakresie współpracy samorządu z organizacjami pozarządowymi. Można skorzystać z zasobów pomorskie.ngo.pl jednakże potrzebne jest utworzenie lokalnej redakcji odpowiedzialnej za aktualizację strony i moderację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Narzędzia diagnozowania obszarów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lang w:eastAsia="pl-PL"/>
              </w:rPr>
              <w:tab/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współpracy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Ujednolicone narzędzia diagnozowania obszarów współpracy na poziomie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gminy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, powiatu i województwa oraz międzysektorowy zespół ekspercki. Upowszechnianie i wdrażanie modelowych narzędzi diagnostycznych w jednostkach samorządu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terytorialnego (m.in. model kontraktowania usług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, kontrakt na jakość). Narzędzia mają służyć systematycznemu rozpoznawaniu nowych i aktualizacji funkcjonujących obszarów współpracy przy współpracy z międzysektorowym zespołem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ekspreckim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. Jednolitość narzędzi będzie umożliwiać badania porównawcze we wszystkich jednostkach samorządowych. 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Zintegrowany system finansowania inicjatyw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 obywatelskich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 ramach narzędzia zostanie opracowany zintegrowany system finansowania inicjatyw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oparty o już funkcjonujące instrumenty: programy grantowe, fundusze pożyczkowe. 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Program stypendialny dla pomorskich liderów i liderek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Program stypendialny będzie wspierał działalność liderów/-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ek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na forach ogólnopolskich, europejskich, światowych, w celu reprezentowania perspektywy pomorskiej w kreowaniu i konsultowaniu polityk publicznych. Stypendia oparte będą o opracowany międzysektorowo system, uwzględniający różnorodne formy wsparcia, dywersyfikację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mechanizmów i źródeł finansowania, strategię promocji, procedury monitoringu i ewaluacji.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Fundusz wkładów własnych oraz pożyczkowy dla organizacji pozarządowych realizujących zadania z zakresu integracji europejskiej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Fundusz wkładów własnych oraz pożyczkowy dla organizacji pozarządowych realizujących zadania z zakresu integracji europejskiej w formie międzynarodowych wymian młodzieżowych, kursów treningowych, wolontariatu europejskiego m.in. w ramach programu Erasmus+. 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Promesa Marszałka Województwa Pomorskiego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Mechanizm ma na celu zwiększenie efektywności wykorzystania funduszy na rzecz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województwa pomorskiego poprzez zapewnienie środków na dofinansowanie tzw. wkładu własnego dla organizacji, które ubiegają się o współfinansowanie ze środków innych niż tych, które są w dyspozycji Urzędu Marszałkowskiego Województwa Pomorskiego.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Mechanizm wymiany usług między samorządem a organizacjami pozarządowymi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Mechanizm wymiany usług między samorządem a organizacjami pozarządowymi. Działanie polega na stworzeniu interaktywnego katalogu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organizacji pozarządowych świadczących usługi publiczne (np. prowadzenie szkoły, placówki opiekuńczo-wychowawczej itp.) w województwie pomorskim oraz stworzenie przestrzeni do nawiązywania współpracy poprzez Samorządowo-pozarządowe Targi Wymiany Usług.  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Sieć Centrów Wsparcia 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Narzędzie polega na opracowaniu i wdrożeniu mechanizmu stałego finansowania infrastruktury wsparcia organizacji pozarządowych w oparciu o katalog niezbędnych usług, standardy działania, oraz system certyfikacji. System zakłada zwiększenie zasięgu sieci centrów wsparcia organizacji pozarządowych, dzięki objęciu działaniami każdego powiatu województwa pomorskiego.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Wojewódzka Sieć Ośrodków Wsparcia Ekonomii Społecznej                                        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 ramach sieci współpracują zarówno Regionalne Ośrodki Wsparcia Ekonomii Społecznej, jak i lokalne organizacje/instytucje zajmujące się rozwojem ekonomii społecznej. Sieć daje możliwość wymiany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doświadczeń, informacji, umiejętności i innych zasobów, ale także wpływa na polityki związane z ekonomią społeczną zarówno na szczeblu lokalnym, regionalnym, jak i centralnym.  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Forum pełnomocników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Forum stanowi platformę wymiany wiedzy, umiejętności oraz dobrych praktyk wśród pełnomocników ds. współpracy z organizacjami pozarządowymi w pomorskich samorządach na wszystkich szczeblach. Do zadań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należy wspólna analiza danych dotyczących jakości współpracy (cykliczne badania jakości na wszystkich szczeblach samorządu), współtworzenie modelu funkcjonowania pełnomocników w województwie pomorskim.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Sieć organizacji strażniczych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Narzędzie polega na zainicjowaniu procesu budowania sieci organizacji strażniczych w województwie pomorskim. Zakłada wzmocnienie w zakresie merytorycznym organizacji pozarządowych pełniących funkcję strażniczą oraz wypracowanie mechanizmu stałego, niezależnego finansowania tego typu działań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w województwie pomorskim.</w:t>
            </w:r>
          </w:p>
        </w:tc>
      </w:tr>
    </w:tbl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 INFRASTRUKTURA TRZECIEGO SEKTORA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0"/>
        <w:gridCol w:w="5092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sieć organizacji infrastrukturalnych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wypracowane standardy funkcjonowania sieci (Pomorska Sieć COP, Sieć Centrów Wolontariatu)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duża liczba młodych organizacji pozarządowych nastawionych na rozwój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funkcjonujące programy grantowe (np. Akumulator Społeczny, Działaj Lokalnie, Pomorski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Funusz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Młodzieżowy, Fundusz Inicjowania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Rozwoju,konkursy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grantowe realizowane przez LGD/LGR)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granty na rozwój instytucjonalny w ramach Akumulatora Społecznego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cyklicznie odbywające się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pełnomocników ds. współpracy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Pomorski Fundusz Pożyczkowy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- rozwinięta sieć reprezentacji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‘koszyk’ narzędzi promocyjnych (np. 1%, BM)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Ośrodki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Wspracia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Ekonomii Społecznej, 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rozwinięta Sieć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Eurodesk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Pomorze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lokalni eksperci, specjaliści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lang w:eastAsia="pl-PL"/>
              </w:rPr>
              <w:tab/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dobre doświadczenia i narzędzia wypracowane w partnerstwie organizacji infrastrukturalnych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brak jednolitego dostępu do infrastruktury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małą liczba grantów na rozwój instytucjonalny dla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mała liczba miejsc przeznaczonych na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coworking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dla NGO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niedostateczne wsparcie w promocji działalności NGO (brak systematyczności)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brak wspólnej platformy komunikacji, informowania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niska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świadomość-&gt;niska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motywacja do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 organizacjach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niedostateczne kompetencje do budowania partnerstw (projektowych, lokalnych, branżowych)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samotni liderzy, wypaleni członkowie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rozproszenie 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zróżnicowanie jakości wsparcia dla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mało zindywidualizowane wsparcie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niewiele wspólnych przestrzeni technicznych (np. magazyny, serwery)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niska skuteczność i mała efektywność części zawiązanych formalnie partnerstw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niestabilna sytuacja organizacji infrastrukturalnych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brak przyjętych standardów wsparcia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słaba infrastruktura współpracy z samorządem (pełnomocnicy, ciała dialogu, programy współpracy)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słaba wymiana informacji nt. infrastruktury i możliwości współpracy, w zakresie łączenia potencjału np. wykorzystanie jednej infrastruktury/przestrzeni do organizacji spotkań, wspólne inicjatywy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CELE GŁÓWNE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oddziaływania organizacji poprzez poprawę ich funkcjonowania w zakresie merytorycznym i instytucjonalnym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potencjału III sektora w budowaniu i realizacji przedsięwzięć partnerskich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CELE SZCZEGÓŁOWE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Rozbudowa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wystandaryzowanej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sieci wsparcia i integracja działań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Poszerzenie dostępu do nowoczesnej bazy technicznej (indywidualnie i zbiorowo)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wsparcia w budowaniu i realizacji przedsięwzięć partnerskich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Wzmocnienie organizacji pozarządowych  w zakresie ich potencjału i aktywności wewnętrznej  skierowanej na skuteczne rozwiązywanie problemów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społecznych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5953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Katalog zintegrowanych usług wsparcia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Katalog zawiera narzędzia wykorzystywane przez różne podmioty zajmujące się wsparciem organizacji pozarządowych (m.in. Centra Organizacji Pozarządowych, Ośrodki Wsparcia Ekonomii Społecznej, Centra Wolontariatu, Punkty EURODESK). Katalog służy z jednej strony zwiększeniu wiedzy na temat dostępnych mechanizmów wsparcia i ich realizatorów, z drugiej strony pozwala na efektywniejsze skonstruowanie planu wsparcia dla organizacji pozarządowej przy wykorzystaniu oferty różnych podmiotów. 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Lokalne partnerstwa (realizator usług wsparcia)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Narzędzie zakłada opracowanie i wdrożenie modelu partnerstwa lokalnego mającego na celu  wzmocnienie oddziaływania organizacji pozarządowych na poziomie lokalnym (powiatowym). Partnerstwo działa w oparciu o systematycznie dokonywaną diagnozę trzeciego sektora wykorzystującą narzędzia badawcze jednolite dla całego województwa.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Program wzmacniania organizacji infrastrukturalnych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Program zawiera mechanizmy stałego wzmacniania oddziaływania i efektywności organizacji infrastrukturalnych, tj. wspierających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inne organizacje pozarządowe. </w:t>
            </w:r>
          </w:p>
        </w:tc>
      </w:tr>
    </w:tbl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REPREZENTACJA TRZECIEGO SEKTORA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4017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PROP - silna, uznana i akceptowana reprezentacja województwa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wypracowany system reprezentowania skorelowany i sformalizowany z ciałami dialogu i komitetami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monitporującymi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długa tradycja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duże doświadczenie ( ponad 11 lat)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dobra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kultura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współpracy z administracją publiczną,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szczegółnie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z pełnomocnikiem do spraw współpracy Urzędu Marszałkowskiego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uznanie ogólnopolskie/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dobra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praktyka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rosnące znaczenie lokalnych rad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wzrastające zainteresowanie pracą lokalnych rad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wzrastający profesjonalizm członków rady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wzrost poziomu integracji sektora w ramach systemu 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niski poziom integracji w NGO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mała liczba federacji/ związków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niewystarczający poziom kompetencji członków rad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słabe zaangażowanie części członków rad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słaby/ niski poziom komunikacji wewnątrz rad oraz na zewnątrz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brak standardów działalności/ funkcjonowania rad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niskie uznanie lokalnych rad przez samorząd i NGO w części środowisk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negatywny wpływ złych doświadczeń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zbyt wysoki poziom konkurencji wśród organizacji pozarządowych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- niski poziom kultury współpracy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szczątkowy wachlarz narzędzi dostępnych dla rad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CELE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Wzmocnienie procesów integracji w środowisku organizacji pozarządowych (liczba wspólnych inicjatyw/ projektów, liczba powstałych związków/ federacji/ koalicji/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klastrów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 liczba  ngo- uczestników wspólnych wydarzeń)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autorytetu/ uznania siły reprezentacji organizacji pozarządowych (liczba ngo biorących udział w wyborach, liczba programów/ dokumentów/ ciał, w których reprezentacja jest obecna,  liczba ngo biorących udział w konsultacjach / lokalnie, liczba zmian uznanych w procesie konsultacji, liczba narzędzi w dyspozycji reprezentacji)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Wzmocnienie kompetencji rad i członków rad poprzez wypracowane standardy działalności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5377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Standardy działalności rad organizacji pozarządowych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Standardy funkcjonowania zarówno lokalnych, jak i wojewódzkiej reprezentacji, opracowane przez grupy robocze,  ekspertów/-ki, szeroko skonsultowane i przyjęte na Pomorskim Forum Inicjatyw Pozarządowych oraz przez poszczególne Rady.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Stały system, edukowania, monitorowania, ewaluacji, informowania w obszarze reprezentacji trzeciego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Narzędzie polega na opracowaniu i wdrożeniu mechanizmu stałego finansowania infrastruktury wsparcia reprezentacji organizacji pozarządowych w oparciu o katalog niezbędnych usług, standardy działania oraz monitoring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funkcjonowania reprezentacji ngo w województwie. System zakłada zwiększenie kompetencji członków/-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iń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rad, skuteczności działania oraz zasięgu oddziaływania rad organizacji pozarządowych. System zakłada zapewnienie stałej współpracy rad z mediami, dostęp do usług doradczych i szkoleniowych, możliwość skorzystania z obsługi technicznej.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Fundusz wsparcia reprezentacji organizacji pozarządowych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Fundusz zakłada wsparcie finansowe podejmowanych przez Rady inicjatyw: kampanii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, spotkań, konferencji, warsztatów, a także finansujący bieżące działania członków i członkiń rad związane z udziałem w różnorodnych wydarzeniach związanych z pełnioną funkcją.</w:t>
            </w: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Pomorskie Forum Inicjatyw Pozarządowych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Pomorskie Forum to cykliczne wydarzenie będące z jednej strony plenarnym spotkaniem organizacji pozarządowych z województwa pomorskiego, z drugiej strony platformą wymiany dobrych praktyk, nabywania wiedzy, umiejętności, podejmowania ponadlokalnej współpracy. 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AKTYWNOŚĆ OBYWATELSKA</w:t>
      </w: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5456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sektor pozarządowy jako stymulacja aktywności obywatelskiej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Centra Wolontariatu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fundusz senioralny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wsparcie dla ruchów nieformalnych (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inicjatywa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, budżet obywatelski, lokalne programy grantowe,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COP-y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itd.)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próby/ dobre praktyki organizowania się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partnerstwo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realizacja własnych pasji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elastyczność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odpowiadanie na lokalne potrzeby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„ zrywy społeczne” WOŚP, akcje Amnesty International itd.)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rozwój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włączanie różnych grup w działania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ośrodki aktywności lokalnej ( np. świetlice)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sieci informacyjne ( np.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Eurodesk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)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grupy samopomocowe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niedostateczna edukacja obywatelska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niski kapitał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niedostateczna infrastruktura i wsparcie merytoryczne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brak badań aktywności społecznej mieszkańców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pomorza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anonimowość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lokalna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( brak inicjatyw sąsiedzkich)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niski poziom zaufania społecznego ( także w stosunku do ngo)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akcyjność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stereotyp aktywności społecznej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konsumpcjonizm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elastyczność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wiek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- brak dobrych praktyk w zakresie korzyści w zakresie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osobistego/ zawodowego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brak liderów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stereotypowe osadzanie osób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wychowanie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brak uregulowania kwestii grup nieformalnych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rozproszona odpowiedzialność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- mała dostępność do projektów europejskich młodzieży z mniejszymi szansami - barierą jest brak środków finansowych na zakup biletów, organizacje wysyłające na wymiany młodzieżowe nie maja środków, aby pokryć te koszty związane z wymianą i czekać na refundację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mała powszechność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workcampów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-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brak promocji i środków na organizację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CELE: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zwiększanie aktywności obywatelskiej mieszkańców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pomorza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poprzez stworzenie kompleksowego systemu wsparcia obywatelskich inicjatyw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zmiana postrzegania aktywności obywatelskiej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pobudzenie aktywności lokalnej w małych środowiskach ( np. dzielnica)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wyłanianie i wzmacnianie liderów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wzmacnianie aktywności seniorów ( różnych grup) à zmiana usług dla seniorów w aktywność seniorów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wsparcie w procesie animacji/ edukacja animatorów lokalnych</w:t>
      </w:r>
    </w:p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2553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fundusz lokalny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fundusze sołeckie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Budżety obywatelskie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squot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(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skłot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inicjatywa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lokalna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( wolontariat rodzinny, AS, PFM)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fundusz senioralny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programy grantowe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COP-y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szkoły liderów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cw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lastRenderedPageBreak/>
              <w:t>sieci informacyjne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wydarzenia ( np. dni sąsiedzkie)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zespoły dialogu obywatelskiego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konsultacje społeczne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domy sąsiedzkie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edukacja obywatelska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ngo i inne „zrzeszenia”( rady sołeckie, dzielnic,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kgw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itd.)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badanie kapitału społecznego/ aktywności społecznej mieszkańców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pomorza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KOMUNIKACJA SPOŁECZNA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4919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Czas antenowy w mediach publicznych przeznaczony na kampanie społeczne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Social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media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Potrzeba newsów ze strony mediów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Specjaliści i sprzymierzeńcy ze świata mediów zaangażowani w działalność w sektorze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serwis ngo.pl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Szybki rozwój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technologiczny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Różnorodność tematów, działań NGO, nieszablonowość podejmowanych przez nie inicjatyw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Pozytywny przekaz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Niski poziom umiejętności nawiązywania relacji/współpracy z mediami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Niski poziom umiejętności opowiadania o działaniach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Social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media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Współpraca nawiązywania „na ostatnią chwilę”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NGO jako temat zastępczy na łamach mediów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Skupienie się tylko na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fundraisingu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i promocji swojej organizacji w przekazie do mediów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NGO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jako„czarne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owce” - nagłaśnianie przez media złych praktyk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zwiazanych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z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organizacajmi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pozarządowymi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dobra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współpraca z mediami głównie na obszarze Metropolii Trójmiejskiej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wiele organizacji nie posiada strony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www</w:t>
            </w:r>
            <w:proofErr w:type="spellEnd"/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niewielka liczna kampanii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społecznych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, rzadkie komunikowanie o działaniach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Niska jakość mediów lokalnych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CEL: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Podniesienie jakości komunikowania o działaniach </w:t>
      </w:r>
      <w:proofErr w:type="spellStart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społecznych</w:t>
      </w:r>
      <w:proofErr w:type="spellEnd"/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CELE SZCZEGÓŁOWE: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………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6"/>
        <w:gridCol w:w="5106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Powiatowe Centra Informacyjne dla mediów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Centra Organizacji Pozarządowych pełnią funkcję łączników między organizacjami pozarządowymi i mediami, pełnią funkcję agencji informacyjnej, która zbiera informacje od organizacji, a następnie, porządkuje, wzmacnia, profesjonalizuje przekaz do mediów. Centra prowadzą i aktualizują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dostepną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dla ngo bazę mediów, zawierającą także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kontakty do poszczególnych dziennikarzy/-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ek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. Organizują też stałe konferencje prasowe.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lastRenderedPageBreak/>
              <w:t>Społecznie zaangażowane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Media obywatelskie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Kalendarz 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Portal regionalny dot. aktywności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Serwer dla ngo, wsparcie IT (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np.Program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 Nowe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TechnologoeLokalnie</w:t>
            </w:r>
            <w:proofErr w:type="spellEnd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, Technologie.org.pl)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Ngo.pl, jako platforma do nawiązywania współpracy, chociażby wolontariusz-dziennikarz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Wydarzenia międzysektorowe (też dla mediów)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Media lokalne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Partnerstwa z mediami, relacje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Szkolenia dla 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Systematycznie organizowane szkolenia z zakresu współpracy z mediami skierowane do przedstawicieli organizacji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pozarządowych i grup obywatelskich.</w:t>
            </w: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Szkolenia dla dziennikarzy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Szkolenia dla dziennikarzy i dziennikarek zwiększające wiedzę z zakresu funkcjonowania organizacji pozarządowych, a także umiejętnego  konstruowania informacji na tematy społeczne.</w:t>
            </w:r>
          </w:p>
        </w:tc>
      </w:tr>
      <w:tr w:rsidR="00047717" w:rsidRPr="00047717" w:rsidTr="0004771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Program praktyk dziennikarskich w 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Możliwość odbycia bezpłatnych praktyk w organizacjach pozarządowych działających w województwie pomorskim, podczas praktyk dziennikarz poznaje specyfikę pracy organizacji pozarządowych, ale także obszarów problemowych, którymi zajmuje się organizacja. </w:t>
            </w:r>
          </w:p>
        </w:tc>
      </w:tr>
    </w:tbl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7717" w:rsidRPr="00047717" w:rsidRDefault="00047717" w:rsidP="0004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48"/>
          <w:szCs w:val="48"/>
          <w:lang w:eastAsia="pl-PL"/>
        </w:rPr>
        <w:t>OBSZAR: WSPÓŁPRACA Z BIZNESEM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6"/>
        <w:gridCol w:w="3636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MOCNE STRONY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SŁABE STRONY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profesjonalizacja/ ekonomizacja ngo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rozwój ekonomii społecznej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dobre praktyki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sieci współpracy, kontakty, partnerstwo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nagrody, rozgłos medialny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przenikanie się/ łączenie ludzi międzysektorowo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działania partnerstwa Forum Inicjowania Rozwoju, w którym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aktywnie uczestniczą przedstawiciele wszystkich sektorów  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funkcjonujący Funduszu Grantowy FIR zbudowany w oparciu o środki prywatnych podmiotów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efektywne wykorzystanie zasobów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słabe umiejętności NGO współpracy z biznesem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traktowanie przedstawicieli biznesu jedynie jako skarbonkę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słabe wykorzystanie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sektora MŚP</w:t>
            </w:r>
          </w:p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stereotypowe podejście obu stron do siebie nawzajem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CELE: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Zwiększenie wiedzy i umiejętności organizacji w zakresie budowania ofert, sprzedaży usług/ produktów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Podniesienie wśród organizacji i biznesu świadomości społecznie odpowiedzialnego terytorium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Zwiększenie przestrzeni dialogu poprzez sieci wymiany dóbr, model współpracy biznesu z organizacjami pozarządowymi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Niwelowanie stereotypowego postrzegania poszczególnych sektorów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7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Zwiększenie poziomu kompetencji w zakresie budowania długoterminowej oferty współpracy z biznesem, konsultowania tej oferty z biznesem (dialog)</w:t>
      </w:r>
    </w:p>
    <w:p w:rsidR="00047717" w:rsidRPr="00047717" w:rsidRDefault="00047717" w:rsidP="00047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5849"/>
      </w:tblGrid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NARZĘDZIA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OPIS NARZĘDZIA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Sieć mentorów, ambasadorów współpracy,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mentorów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Wzmocnienie mechanizmów współpracy, wymiany doświadczeń między mentorami biznesowymi, osobami zaangażowanymi w działalność w organizacjach pozarządowych, będącymi jednocześnie przedstawicielami sektora biznesu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Forum Inicjowania Rozwoju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Wydarzenie skupiające przedstawicieli sektora biznesu, samorządu i organizacji pozarządowych. Forum stanowi platformę współpracy międzysektorowej, edukacji oraz upowszechniania dobrych praktyk w </w:t>
            </w: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tym zakresie. Jest narzędziem umożliwiającym wymianę myśli i doświadczeń oraz prowadzenie dialogu dotyczącego tematów ważnych dla Pomorza. Forum daje także przestrzeń dla wypracowywania konstruktywnych, praktycznych rozwiązań poprzez aktywne formy pracy tj. warsztaty, interaktywne prezentacje, sesje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networkingowe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.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lastRenderedPageBreak/>
              <w:t>Platforma Firm Odpowiedzialnych Społecznie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Pomorski Klaster Ekonomii Społecznej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Klaster Ekonomii Społecznej Województwa Pomorskiego jest grupą partnerską skupiającą różnorodne podmioty działające w obszarze ekonomii społecznej. Ma na celu zwiększenie efektywności współpracy w zakresie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ekonomii społecznej w województwie pomorskim </w:t>
            </w:r>
          </w:p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Targi międzysektorowe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Pomorskie Forum Odpowiedzialnego Biznesu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Wydarzenie mające na celu zaprezentowanie dobrych praktyk w zakresie zaangażowania społecznego przedstawicieli sektora biznesu, zwiększenie wiedzy zarówno biznesu, jak i organizacji pozarządowych z województwa pomorskiego w zakresie możliwości i narzędzi współpracy. 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Pomorskie Forum Darczyńców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Forum zrzesza organizacje, instytucje i firmy z województwa pomorskiego, które przyznają dotacje na różnorodne inicjatywy obywatelskie. Forum ma na celu  doskonalenie umiejętności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grantodawców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,  upowszechnianie dobrych praktyk w przyznawaniu dotacji oraz integrację działań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grantodwczych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na terenie województwa. Forum tworzy przyjazne i przejrzyste warunki dla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rozwoju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działalności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grantodawczej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oraz buduje społeczną wiarygodność organizacji, firm i instytucji, które się taką działalnością zajmują.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Prezesi Wolontariusze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Narzędzie zakłada opracowanie 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wdrozenie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w województwie pomorskim programu wzorowanego na ogólnopolskim projekcie Koalicja Prezesi - Wolontariusze promującym społeczne zaangażowania wśród liderów biznesu, a także propagującym postawy i zachowania prospołeczne poprzez pokazywanie pozytywnych przykładów menedżerów wysokiego szczebla, którzy dzielą się swoim czasem, doświadczeniem, wiedzą i umiejętnościami w ramach akcji </w:t>
            </w:r>
            <w:proofErr w:type="spellStart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wolontariackich</w:t>
            </w:r>
            <w:proofErr w:type="spellEnd"/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. 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Wolontariat Pracowniczy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Narzędzie zakłada opracowanie i wdrożenie modelu funkcjonowania wolontariatu pracowniczego w województwie pomorskim.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 xml:space="preserve">Forum </w:t>
            </w:r>
            <w:proofErr w:type="spellStart"/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Fundraiserów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lastRenderedPageBreak/>
              <w:t>Szkolenia, doradztwo, mentoring biznesowy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Lokalne Fora Międzysektorowe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Model partnerstwa prywatno- społecznego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Narzędzie zakłada opracowanie i wdrożenie modelu współpracy sektora biznesowego z pozarządowym opartego na wzorze partnerstwa publiczno - prywatnego. Proces wdrożenia zakłada m.in. premiowanie partnerstw prywatno-społecznych  w programach grantowych.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Katalog/ e- katalog produktów/ usług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konkurs firma zaangażowana społecznie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Konkurs zakłada docenianie pomorskich firm zaangażowanych społecznie. Konkurs wzorowany na ogólnopolskim programie Dobroczyńca Roku. </w:t>
            </w: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konkurs na najlepszy projekt międzynarodowy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FF0000"/>
                <w:sz w:val="32"/>
                <w:szCs w:val="32"/>
                <w:lang w:eastAsia="pl-PL"/>
              </w:rPr>
              <w:t>znak Dobrej Roboty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47717" w:rsidRPr="00047717" w:rsidTr="000477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ind w:left="12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Innowacyjne instrumenty współpracy finansowej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047717" w:rsidRPr="00047717" w:rsidRDefault="00047717" w:rsidP="00047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717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Narzędzie zakłada dokonanie analizy i upowszechnienie zarówno krajowych, jak i międzynarodowych innowacji w zakresie współpracy sektora biznesu z pozarządowym. </w:t>
            </w:r>
          </w:p>
        </w:tc>
      </w:tr>
    </w:tbl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0F" w:rsidRDefault="00261E0F"/>
    <w:sectPr w:rsidR="00261E0F" w:rsidSect="0026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47717"/>
    <w:rsid w:val="00047717"/>
    <w:rsid w:val="00261E0F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4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6103</Words>
  <Characters>36620</Characters>
  <Application>Microsoft Office Word</Application>
  <DocSecurity>0</DocSecurity>
  <Lines>305</Lines>
  <Paragraphs>85</Paragraphs>
  <ScaleCrop>false</ScaleCrop>
  <Company/>
  <LinksUpToDate>false</LinksUpToDate>
  <CharactersWithSpaces>42638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2015-09-03T01:26:00Z</dcterms:created>
  <dcterms:modified xsi:type="dcterms:W3CDTF">2015-09-03T01:26:00Z</dcterms:modified>
</cp:coreProperties>
</file>